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72" w:rsidRPr="00FB4E72" w:rsidRDefault="00FB4E72" w:rsidP="00FB4E7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B4E72">
        <w:rPr>
          <w:rFonts w:ascii="Times New Roman" w:hAnsi="Times New Roman"/>
          <w:b/>
          <w:sz w:val="28"/>
          <w:szCs w:val="28"/>
        </w:rPr>
        <w:t xml:space="preserve">Основные новеллы </w:t>
      </w:r>
      <w:r>
        <w:rPr>
          <w:rFonts w:ascii="Times New Roman" w:hAnsi="Times New Roman"/>
          <w:b/>
          <w:sz w:val="28"/>
          <w:szCs w:val="28"/>
        </w:rPr>
        <w:br/>
      </w:r>
      <w:r w:rsidRPr="00FB4E72">
        <w:rPr>
          <w:rFonts w:ascii="Times New Roman" w:hAnsi="Times New Roman"/>
          <w:b/>
          <w:sz w:val="28"/>
          <w:szCs w:val="28"/>
        </w:rPr>
        <w:t xml:space="preserve">в Методических рекомендациях по вопросам представления сведений </w:t>
      </w:r>
      <w:r>
        <w:rPr>
          <w:rFonts w:ascii="Times New Roman" w:hAnsi="Times New Roman"/>
          <w:b/>
          <w:sz w:val="28"/>
          <w:szCs w:val="28"/>
        </w:rPr>
        <w:br/>
      </w:r>
      <w:r w:rsidRPr="00FB4E72">
        <w:rPr>
          <w:rFonts w:ascii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 и заполнения соответствующей формы справки в 2026 году (за отчетный 2025 год)</w:t>
      </w:r>
    </w:p>
    <w:p w:rsidR="00FB4E72" w:rsidRDefault="00FB4E72" w:rsidP="00FB4E72">
      <w:pPr>
        <w:spacing w:before="480"/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>Министерством труда и социальной защиты Российской Федерации ежегодно обновляются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(далее соответственно – Методические рек</w:t>
      </w:r>
      <w:r>
        <w:rPr>
          <w:rFonts w:ascii="Times New Roman" w:hAnsi="Times New Roman"/>
          <w:sz w:val="28"/>
          <w:szCs w:val="28"/>
        </w:rPr>
        <w:t>омендации, сведения о доходах).</w:t>
      </w:r>
    </w:p>
    <w:p w:rsidR="00FB4E72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Методические рекомендации для применения в ходе декларационной кампании 2026 года (за отчетный 2025 год) подготовлены Министерством при участии Администрации Президента Российской Федерации, Аппарата Правительства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:rsidR="00FB4E72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Основными новеллами указанных Методических рекомендаций являются </w:t>
      </w:r>
      <w:proofErr w:type="gramStart"/>
      <w:r w:rsidRPr="00FB4E72">
        <w:rPr>
          <w:rFonts w:ascii="Times New Roman" w:hAnsi="Times New Roman"/>
          <w:sz w:val="28"/>
          <w:szCs w:val="28"/>
        </w:rPr>
        <w:t>следующие</w:t>
      </w:r>
      <w:proofErr w:type="gramEnd"/>
      <w:r w:rsidRPr="00FB4E72">
        <w:rPr>
          <w:rFonts w:ascii="Times New Roman" w:hAnsi="Times New Roman"/>
          <w:sz w:val="28"/>
          <w:szCs w:val="28"/>
        </w:rPr>
        <w:t xml:space="preserve">. </w:t>
      </w:r>
    </w:p>
    <w:p w:rsidR="00FB4E72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>1. В формате .</w:t>
      </w:r>
      <w:proofErr w:type="spellStart"/>
      <w:r w:rsidRPr="00FB4E72">
        <w:rPr>
          <w:rFonts w:ascii="Times New Roman" w:hAnsi="Times New Roman"/>
          <w:sz w:val="28"/>
          <w:szCs w:val="28"/>
        </w:rPr>
        <w:t>docx</w:t>
      </w:r>
      <w:proofErr w:type="spellEnd"/>
      <w:r w:rsidRPr="00FB4E72">
        <w:rPr>
          <w:rFonts w:ascii="Times New Roman" w:hAnsi="Times New Roman"/>
          <w:sz w:val="28"/>
          <w:szCs w:val="28"/>
        </w:rPr>
        <w:t xml:space="preserve"> внедрена система навигации по документу, а также созданы гиперссылки.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2. Отражен порядок направления вопросов, связанных </w:t>
      </w:r>
      <w:r w:rsidR="00745BF3">
        <w:rPr>
          <w:rFonts w:ascii="Times New Roman" w:hAnsi="Times New Roman"/>
          <w:sz w:val="28"/>
          <w:szCs w:val="28"/>
        </w:rPr>
        <w:br/>
      </w:r>
      <w:r w:rsidRPr="00FB4E72">
        <w:rPr>
          <w:rFonts w:ascii="Times New Roman" w:hAnsi="Times New Roman"/>
          <w:sz w:val="28"/>
          <w:szCs w:val="28"/>
        </w:rPr>
        <w:t>с использованием специал</w:t>
      </w:r>
      <w:r w:rsidR="00745BF3">
        <w:rPr>
          <w:rFonts w:ascii="Times New Roman" w:hAnsi="Times New Roman"/>
          <w:sz w:val="28"/>
          <w:szCs w:val="28"/>
        </w:rPr>
        <w:t>ьного программного обеспечения «</w:t>
      </w:r>
      <w:r w:rsidRPr="00FB4E72">
        <w:rPr>
          <w:rFonts w:ascii="Times New Roman" w:hAnsi="Times New Roman"/>
          <w:sz w:val="28"/>
          <w:szCs w:val="28"/>
        </w:rPr>
        <w:t>Справки БК</w:t>
      </w:r>
      <w:r w:rsidR="00745BF3">
        <w:rPr>
          <w:rFonts w:ascii="Times New Roman" w:hAnsi="Times New Roman"/>
          <w:sz w:val="28"/>
          <w:szCs w:val="28"/>
        </w:rPr>
        <w:t>»</w:t>
      </w:r>
      <w:r w:rsidRPr="00FB4E72">
        <w:rPr>
          <w:rFonts w:ascii="Times New Roman" w:hAnsi="Times New Roman"/>
          <w:sz w:val="28"/>
          <w:szCs w:val="28"/>
        </w:rPr>
        <w:t xml:space="preserve">, </w:t>
      </w:r>
      <w:r w:rsidR="00745BF3">
        <w:rPr>
          <w:rFonts w:ascii="Times New Roman" w:hAnsi="Times New Roman"/>
          <w:sz w:val="28"/>
          <w:szCs w:val="28"/>
        </w:rPr>
        <w:br/>
      </w:r>
      <w:r w:rsidRPr="00FB4E72">
        <w:rPr>
          <w:rFonts w:ascii="Times New Roman" w:hAnsi="Times New Roman"/>
          <w:sz w:val="28"/>
          <w:szCs w:val="28"/>
        </w:rPr>
        <w:t xml:space="preserve">на адрес электронной почты: </w:t>
      </w:r>
      <w:hyperlink r:id="rId7" w:history="1">
        <w:r w:rsidR="00745BF3" w:rsidRPr="00090E09">
          <w:rPr>
            <w:rStyle w:val="aa"/>
            <w:rFonts w:ascii="Times New Roman" w:hAnsi="Times New Roman"/>
            <w:sz w:val="28"/>
            <w:szCs w:val="28"/>
          </w:rPr>
          <w:t>spravki_bk@mintrud.gov.ru</w:t>
        </w:r>
      </w:hyperlink>
      <w:r w:rsidRPr="00FB4E72">
        <w:rPr>
          <w:rFonts w:ascii="Times New Roman" w:hAnsi="Times New Roman"/>
          <w:sz w:val="28"/>
          <w:szCs w:val="28"/>
        </w:rPr>
        <w:t xml:space="preserve">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FB4E72">
        <w:rPr>
          <w:rFonts w:ascii="Times New Roman" w:hAnsi="Times New Roman"/>
          <w:sz w:val="28"/>
          <w:szCs w:val="28"/>
        </w:rPr>
        <w:t xml:space="preserve">Учтены положения Федерального закона от 28 декабря 2025 г. </w:t>
      </w:r>
      <w:r w:rsidR="00745BF3">
        <w:rPr>
          <w:rFonts w:ascii="Times New Roman" w:hAnsi="Times New Roman"/>
          <w:sz w:val="28"/>
          <w:szCs w:val="28"/>
        </w:rPr>
        <w:br/>
        <w:t>№ 505-ФЗ «</w:t>
      </w:r>
      <w:r w:rsidRPr="00FB4E72">
        <w:rPr>
          <w:rFonts w:ascii="Times New Roman" w:hAnsi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745BF3">
        <w:rPr>
          <w:rFonts w:ascii="Times New Roman" w:hAnsi="Times New Roman"/>
          <w:sz w:val="28"/>
          <w:szCs w:val="28"/>
        </w:rPr>
        <w:t>»</w:t>
      </w:r>
      <w:r w:rsidRPr="00FB4E72">
        <w:rPr>
          <w:rFonts w:ascii="Times New Roman" w:hAnsi="Times New Roman"/>
          <w:sz w:val="28"/>
          <w:szCs w:val="28"/>
        </w:rPr>
        <w:t xml:space="preserve"> и Указа Президента Российской Федерации </w:t>
      </w:r>
      <w:r w:rsidR="00745BF3">
        <w:rPr>
          <w:rFonts w:ascii="Times New Roman" w:hAnsi="Times New Roman"/>
          <w:sz w:val="28"/>
          <w:szCs w:val="28"/>
        </w:rPr>
        <w:br/>
      </w:r>
      <w:r w:rsidRPr="00FB4E72">
        <w:rPr>
          <w:rFonts w:ascii="Times New Roman" w:hAnsi="Times New Roman"/>
          <w:sz w:val="28"/>
          <w:szCs w:val="28"/>
        </w:rPr>
        <w:t>от 31 декабр</w:t>
      </w:r>
      <w:r w:rsidR="00745BF3">
        <w:rPr>
          <w:rFonts w:ascii="Times New Roman" w:hAnsi="Times New Roman"/>
          <w:sz w:val="28"/>
          <w:szCs w:val="28"/>
        </w:rPr>
        <w:t>я 2025 г. № 1009 «</w:t>
      </w:r>
      <w:r w:rsidRPr="00FB4E72">
        <w:rPr>
          <w:rFonts w:ascii="Times New Roman" w:hAnsi="Times New Roman"/>
          <w:sz w:val="28"/>
          <w:szCs w:val="28"/>
        </w:rPr>
        <w:t>Об изменении и признании утратившими силу некоторых актов Президента Российской Федерации</w:t>
      </w:r>
      <w:r w:rsidR="00745BF3">
        <w:rPr>
          <w:rFonts w:ascii="Times New Roman" w:hAnsi="Times New Roman"/>
          <w:sz w:val="28"/>
          <w:szCs w:val="28"/>
        </w:rPr>
        <w:t>»</w:t>
      </w:r>
      <w:r w:rsidRPr="00FB4E72">
        <w:rPr>
          <w:rFonts w:ascii="Times New Roman" w:hAnsi="Times New Roman"/>
          <w:sz w:val="28"/>
          <w:szCs w:val="28"/>
        </w:rPr>
        <w:t xml:space="preserve">, в том числе касающиеся случаев и сроков представления сведений о доходах. </w:t>
      </w:r>
      <w:proofErr w:type="gramEnd"/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4. Скорректированы подходы к отражению информации на титульном листе справки о доходах, расходах, об имуществе и обязательствах имущественного характера (далее – справка) – информация указывается </w:t>
      </w:r>
      <w:r w:rsidR="00745BF3">
        <w:rPr>
          <w:rFonts w:ascii="Times New Roman" w:hAnsi="Times New Roman"/>
          <w:sz w:val="28"/>
          <w:szCs w:val="28"/>
        </w:rPr>
        <w:br/>
      </w:r>
      <w:r w:rsidRPr="00FB4E72">
        <w:rPr>
          <w:rFonts w:ascii="Times New Roman" w:hAnsi="Times New Roman"/>
          <w:sz w:val="28"/>
          <w:szCs w:val="28"/>
        </w:rPr>
        <w:t xml:space="preserve">по состоянию на дату подписания справки. Аналогично изменен подход </w:t>
      </w:r>
      <w:r w:rsidR="00745BF3">
        <w:rPr>
          <w:rFonts w:ascii="Times New Roman" w:hAnsi="Times New Roman"/>
          <w:sz w:val="28"/>
          <w:szCs w:val="28"/>
        </w:rPr>
        <w:br/>
        <w:t>к заполнению строки «</w:t>
      </w:r>
      <w:r w:rsidRPr="00FB4E72">
        <w:rPr>
          <w:rFonts w:ascii="Times New Roman" w:hAnsi="Times New Roman"/>
          <w:sz w:val="28"/>
          <w:szCs w:val="28"/>
        </w:rPr>
        <w:t>Доход по основному месту работы</w:t>
      </w:r>
      <w:r w:rsidR="00745BF3">
        <w:rPr>
          <w:rFonts w:ascii="Times New Roman" w:hAnsi="Times New Roman"/>
          <w:sz w:val="28"/>
          <w:szCs w:val="28"/>
        </w:rPr>
        <w:t>»</w:t>
      </w:r>
      <w:r w:rsidRPr="00FB4E72">
        <w:rPr>
          <w:rFonts w:ascii="Times New Roman" w:hAnsi="Times New Roman"/>
          <w:sz w:val="28"/>
          <w:szCs w:val="28"/>
        </w:rPr>
        <w:t xml:space="preserve"> раздела 1 справки.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5. Изменены подходы к расчету общего дохода служащего (работника), его супруги (супруга) и несовершеннолетних детей.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6. Отмечено, что сведения о расходах представляются в случае, если совершена сделка (сделки) по приобретению соответствующего имущества </w:t>
      </w:r>
      <w:r w:rsidR="00745BF3">
        <w:rPr>
          <w:rFonts w:ascii="Times New Roman" w:hAnsi="Times New Roman"/>
          <w:sz w:val="28"/>
          <w:szCs w:val="28"/>
        </w:rPr>
        <w:br/>
      </w:r>
      <w:r w:rsidRPr="00FB4E72">
        <w:rPr>
          <w:rFonts w:ascii="Times New Roman" w:hAnsi="Times New Roman"/>
          <w:sz w:val="28"/>
          <w:szCs w:val="28"/>
        </w:rPr>
        <w:t xml:space="preserve">и сумма такой сделки (сделок) превышает применимый трехгодовой доход (вне зависимости от фактически уплаченной суммы).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7. Подчеркнуто, что в разделе 3 справки подлежит отражению соответствующее имущество, полученное в порядке наследования (принято наследство и имеется свидетельство о праве на наследство). </w:t>
      </w:r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lastRenderedPageBreak/>
        <w:t xml:space="preserve">8. </w:t>
      </w:r>
      <w:proofErr w:type="gramStart"/>
      <w:r w:rsidRPr="00FB4E72">
        <w:rPr>
          <w:rFonts w:ascii="Times New Roman" w:hAnsi="Times New Roman"/>
          <w:sz w:val="28"/>
          <w:szCs w:val="28"/>
        </w:rPr>
        <w:t xml:space="preserve">Указано, что в разделе 4 справки отражению подлежат расчетные счета, открываемые индивидуальным предпринимателям или физическим лицам, занимающимся в установленном законодательством Российской Федерации порядке частной практикой. </w:t>
      </w:r>
      <w:proofErr w:type="gramEnd"/>
    </w:p>
    <w:p w:rsidR="00745BF3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 xml:space="preserve">9. Уточнены отдельные аспекты отражения в разделе 5 справки инвестиционных паев открытых паевых инвестиционных фондов или инвестиционных паев закрытых паевых инвестиционных фондов, предназначенных для квалифицированных инвесторов, которые приобретаются в рамках договора долевого страхования жизни, а также ценных бумаг, переданных на депонирование </w:t>
      </w:r>
      <w:proofErr w:type="spellStart"/>
      <w:r w:rsidRPr="00FB4E72">
        <w:rPr>
          <w:rFonts w:ascii="Times New Roman" w:hAnsi="Times New Roman"/>
          <w:sz w:val="28"/>
          <w:szCs w:val="28"/>
        </w:rPr>
        <w:t>эскроу</w:t>
      </w:r>
      <w:proofErr w:type="spellEnd"/>
      <w:r w:rsidRPr="00FB4E72">
        <w:rPr>
          <w:rFonts w:ascii="Times New Roman" w:hAnsi="Times New Roman"/>
          <w:sz w:val="28"/>
          <w:szCs w:val="28"/>
        </w:rPr>
        <w:t xml:space="preserve">-агенту. </w:t>
      </w:r>
    </w:p>
    <w:p w:rsidR="00AA3492" w:rsidRDefault="00FB4E72" w:rsidP="00FB4E72">
      <w:pPr>
        <w:rPr>
          <w:rFonts w:ascii="Times New Roman" w:hAnsi="Times New Roman"/>
          <w:sz w:val="28"/>
          <w:szCs w:val="28"/>
        </w:rPr>
      </w:pPr>
      <w:r w:rsidRPr="00FB4E72">
        <w:rPr>
          <w:rFonts w:ascii="Times New Roman" w:hAnsi="Times New Roman"/>
          <w:sz w:val="28"/>
          <w:szCs w:val="28"/>
        </w:rPr>
        <w:t>10. Отражены подходы к указанию в подразделе 6.2 раздела 6 справки обязательств, возникающих исходя из условий договора долевого страхования жизни.</w:t>
      </w:r>
    </w:p>
    <w:p w:rsidR="00745BF3" w:rsidRPr="00FB4E72" w:rsidRDefault="00745BF3" w:rsidP="00745BF3">
      <w:pPr>
        <w:spacing w:before="480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745BF3" w:rsidRPr="00FB4E72" w:rsidSect="008C63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BD" w:rsidRDefault="007300BD" w:rsidP="008C63D2">
      <w:r>
        <w:separator/>
      </w:r>
    </w:p>
  </w:endnote>
  <w:endnote w:type="continuationSeparator" w:id="0">
    <w:p w:rsidR="007300BD" w:rsidRDefault="007300BD" w:rsidP="008C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D2" w:rsidRDefault="008C63D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D2" w:rsidRDefault="008C63D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D2" w:rsidRDefault="008C63D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BD" w:rsidRDefault="007300BD" w:rsidP="008C63D2">
      <w:r>
        <w:separator/>
      </w:r>
    </w:p>
  </w:footnote>
  <w:footnote w:type="continuationSeparator" w:id="0">
    <w:p w:rsidR="007300BD" w:rsidRDefault="007300BD" w:rsidP="008C6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D2" w:rsidRDefault="008C63D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3220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bookmarkStart w:id="0" w:name="_GoBack" w:displacedByCustomXml="prev"/>
      <w:bookmarkEnd w:id="0" w:displacedByCustomXml="prev"/>
      <w:p w:rsidR="008C63D2" w:rsidRPr="008C63D2" w:rsidRDefault="008C63D2" w:rsidP="008C63D2">
        <w:pPr>
          <w:pStyle w:val="ab"/>
          <w:ind w:firstLine="0"/>
          <w:jc w:val="center"/>
          <w:rPr>
            <w:sz w:val="24"/>
            <w:szCs w:val="24"/>
          </w:rPr>
        </w:pPr>
        <w:r w:rsidRPr="008C63D2">
          <w:rPr>
            <w:rFonts w:ascii="Times New Roman" w:hAnsi="Times New Roman"/>
            <w:sz w:val="24"/>
            <w:szCs w:val="24"/>
          </w:rPr>
          <w:fldChar w:fldCharType="begin"/>
        </w:r>
        <w:r w:rsidRPr="008C63D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C63D2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8C63D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C63D2" w:rsidRDefault="008C63D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D2" w:rsidRDefault="008C63D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92"/>
    <w:rsid w:val="00060B6D"/>
    <w:rsid w:val="007300BD"/>
    <w:rsid w:val="00745BF3"/>
    <w:rsid w:val="008C63D2"/>
    <w:rsid w:val="00AA3492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9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34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A349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a4">
    <w:name w:val="Subtitle"/>
    <w:basedOn w:val="a"/>
    <w:next w:val="a"/>
    <w:link w:val="a5"/>
    <w:uiPriority w:val="11"/>
    <w:qFormat/>
    <w:rsid w:val="00AA3492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A3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AA3492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A3492"/>
    <w:rPr>
      <w:i/>
      <w:iCs/>
    </w:rPr>
  </w:style>
  <w:style w:type="character" w:styleId="a8">
    <w:name w:val="Intense Emphasis"/>
    <w:basedOn w:val="a0"/>
    <w:uiPriority w:val="21"/>
    <w:qFormat/>
    <w:rsid w:val="00AA3492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AA3492"/>
    <w:rPr>
      <w:b/>
      <w:bCs/>
    </w:rPr>
  </w:style>
  <w:style w:type="character" w:styleId="aa">
    <w:name w:val="Hyperlink"/>
    <w:basedOn w:val="a0"/>
    <w:uiPriority w:val="99"/>
    <w:unhideWhenUsed/>
    <w:rsid w:val="00745BF3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C63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63D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C63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C63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9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34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A349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a4">
    <w:name w:val="Subtitle"/>
    <w:basedOn w:val="a"/>
    <w:next w:val="a"/>
    <w:link w:val="a5"/>
    <w:uiPriority w:val="11"/>
    <w:qFormat/>
    <w:rsid w:val="00AA3492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A3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AA3492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A3492"/>
    <w:rPr>
      <w:i/>
      <w:iCs/>
    </w:rPr>
  </w:style>
  <w:style w:type="character" w:styleId="a8">
    <w:name w:val="Intense Emphasis"/>
    <w:basedOn w:val="a0"/>
    <w:uiPriority w:val="21"/>
    <w:qFormat/>
    <w:rsid w:val="00AA3492"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AA3492"/>
    <w:rPr>
      <w:b/>
      <w:bCs/>
    </w:rPr>
  </w:style>
  <w:style w:type="character" w:styleId="aa">
    <w:name w:val="Hyperlink"/>
    <w:basedOn w:val="a0"/>
    <w:uiPriority w:val="99"/>
    <w:unhideWhenUsed/>
    <w:rsid w:val="00745BF3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C63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63D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C63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C63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ravki_bk@mintrud.gov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kolmogorova_ne</dc:creator>
  <cp:lastModifiedBy>kolmogorova_ne</cp:lastModifiedBy>
  <cp:revision>2</cp:revision>
  <dcterms:created xsi:type="dcterms:W3CDTF">2026-04-02T08:24:00Z</dcterms:created>
  <dcterms:modified xsi:type="dcterms:W3CDTF">2026-04-07T08:10:00Z</dcterms:modified>
</cp:coreProperties>
</file>